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i w:val="0"/>
          <w:iCs w:val="0"/>
          <w:sz w:val="28"/>
          <w:szCs w:val="28"/>
          <w:lang w:val="en-US" w:eastAsia="zh-CN"/>
        </w:rPr>
        <w:t>SUPPLEMENTARY MATERIAL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2"/>
        <w:tblW w:w="10050" w:type="dxa"/>
        <w:jc w:val="center"/>
        <w:tblInd w:w="-85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5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Supplementary Table 1. Risk of bias assessment based on ACROBAT-NRSI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Study，publication year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 confounding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 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participants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departures from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intended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missing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data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outcomes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reported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result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Overall bias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Peng J,2015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Buti M,2015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Fontaine H,2015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Chen L,2015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Hsu YC,2016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21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Park CH,2016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Jun BG,2016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Lin CC,2016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Nagata N,2016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Lee HA,2016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Siederdissen CH,2016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Siederdissen CH,2016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Muche M,2017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Karakaya F,2017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Cao JW,2017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Berg T,2017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Jeng WJ,2018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Dalekos GN,2018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Papatheodoridis GV,2018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Rivino L,2018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Chi H,2018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Liu F,2018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Hsu YC,2018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Kranidioti H,2019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Hees SV,2019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Xie LQ,2019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42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050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N: no, PN: probably no, PY: probably yes, Y: yes. </w:t>
            </w:r>
          </w:p>
        </w:tc>
      </w:tr>
    </w:tbl>
    <w:p>
      <w:pPr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Reference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 xml:space="preserve">[1] </w:t>
      </w:r>
      <w:r>
        <w:t>Sterne JAC, Higgins JPT, Reeves BC; on behalf of the development group for ACROBAT-NRS. A Cochrane Risk of Bias</w:t>
      </w:r>
      <w:r>
        <w:rPr>
          <w:rFonts w:hint="eastAsia"/>
          <w:lang w:val="en-US" w:eastAsia="zh-CN"/>
        </w:rPr>
        <w:t xml:space="preserve"> </w:t>
      </w:r>
      <w:r>
        <w:t>Assessment Tool: For Non-Randomized Studies of Interventions</w:t>
      </w:r>
      <w:r>
        <w:rPr>
          <w:rFonts w:hint="eastAsia"/>
          <w:lang w:val="en-US" w:eastAsia="zh-CN"/>
        </w:rPr>
        <w:t xml:space="preserve"> </w:t>
      </w:r>
      <w:r>
        <w:t xml:space="preserve">(ACROBAT-NRSI), version 1.0.0, September 24, 2014. http://www.riskofbias.info. Accessed </w:t>
      </w:r>
      <w:r>
        <w:rPr>
          <w:rFonts w:hint="eastAsia"/>
          <w:lang w:val="en-US" w:eastAsia="zh-CN"/>
        </w:rPr>
        <w:t>Aug</w:t>
      </w:r>
      <w:r>
        <w:t xml:space="preserve"> 201</w:t>
      </w:r>
      <w:r>
        <w:rPr>
          <w:rFonts w:hint="eastAsia"/>
          <w:lang w:val="en-US" w:eastAsia="zh-CN"/>
        </w:rPr>
        <w:t>9</w:t>
      </w:r>
      <w:r>
        <w:t>.</w:t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ind w:firstLine="1405" w:firstLineChars="5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SUPPLEMENTARY FIGURE LEGENDS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lang w:val="en-US" w:eastAsia="zh-CN"/>
        </w:rPr>
        <w:t xml:space="preserve">overall </w:t>
      </w:r>
      <w:bookmarkStart w:id="0" w:name="_GoBack"/>
      <w:bookmarkEnd w:id="0"/>
      <w:r>
        <w:rPr>
          <w:rFonts w:hint="default"/>
          <w:sz w:val="24"/>
          <w:szCs w:val="24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lang w:val="en-US" w:eastAsia="zh-CN"/>
        </w:rPr>
        <w:t xml:space="preserve">(BR) </w:t>
      </w:r>
      <w:r>
        <w:rPr>
          <w:rFonts w:hint="default"/>
          <w:sz w:val="24"/>
          <w:szCs w:val="24"/>
          <w:lang w:val="en-US" w:eastAsia="zh-CN"/>
        </w:rPr>
        <w:t xml:space="preserve">afeter </w:t>
      </w:r>
      <w:r>
        <w:rPr>
          <w:rFonts w:hint="eastAsia"/>
          <w:sz w:val="24"/>
          <w:szCs w:val="24"/>
          <w:lang w:val="en-US" w:eastAsia="zh-CN"/>
        </w:rPr>
        <w:t>NAs</w:t>
      </w:r>
      <w:r>
        <w:rPr>
          <w:rFonts w:hint="default"/>
          <w:sz w:val="24"/>
          <w:szCs w:val="24"/>
          <w:lang w:val="en-US" w:eastAsia="zh-CN"/>
        </w:rPr>
        <w:t xml:space="preserve"> cessation. A: All patients, B: HBeAgpositive patients, C: HBeAg-negative patients. ES means effect size, which refers to estimated probability.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A</w:t>
      </w:r>
      <w:r>
        <w:rPr>
          <w:rFonts w:hint="default"/>
          <w:sz w:val="24"/>
          <w:szCs w:val="24"/>
          <w:lang w:val="en-US" w:eastAsia="zh-CN"/>
        </w:rPr>
        <w:t>ll patients,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HBeAg-positive patients, C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Bars are 95% CI. Green lines are trend lines.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675" cy="4048760"/>
            <wp:effectExtent l="0" t="0" r="3175" b="8890"/>
            <wp:docPr id="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4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r>
        <w:drawing>
          <wp:inline distT="0" distB="0" distL="114300" distR="114300">
            <wp:extent cx="3405505" cy="2697480"/>
            <wp:effectExtent l="0" t="0" r="4445" b="762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5505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373120" cy="2270125"/>
            <wp:effectExtent l="0" t="0" r="17780" b="15875"/>
            <wp:docPr id="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3120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394710" cy="2374265"/>
            <wp:effectExtent l="0" t="0" r="15240" b="6985"/>
            <wp:docPr id="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4710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lang w:val="en-US" w:eastAsia="zh-CN"/>
        </w:rPr>
        <w:t xml:space="preserve">overall </w:t>
      </w:r>
      <w:r>
        <w:rPr>
          <w:rFonts w:hint="default"/>
          <w:sz w:val="24"/>
          <w:szCs w:val="24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lang w:val="en-US" w:eastAsia="zh-CN"/>
        </w:rPr>
        <w:t xml:space="preserve">(BR) </w:t>
      </w:r>
      <w:r>
        <w:rPr>
          <w:rFonts w:hint="default"/>
          <w:sz w:val="24"/>
          <w:szCs w:val="24"/>
          <w:lang w:val="en-US" w:eastAsia="zh-CN"/>
        </w:rPr>
        <w:t xml:space="preserve">afeter </w:t>
      </w:r>
      <w:r>
        <w:rPr>
          <w:rFonts w:hint="eastAsia"/>
          <w:sz w:val="24"/>
          <w:szCs w:val="24"/>
          <w:lang w:val="en-US" w:eastAsia="zh-CN"/>
        </w:rPr>
        <w:t>NAs</w:t>
      </w:r>
      <w:r>
        <w:rPr>
          <w:rFonts w:hint="default"/>
          <w:sz w:val="24"/>
          <w:szCs w:val="24"/>
          <w:lang w:val="en-US" w:eastAsia="zh-CN"/>
        </w:rPr>
        <w:t xml:space="preserve"> cessation. A: All patients, B: HBeAgpositive patients, C: HBeAg-negative patients. ES means effect size, which refers to estimated probability.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0" distR="0">
            <wp:extent cx="4117975" cy="1940560"/>
            <wp:effectExtent l="4445" t="4445" r="11430" b="17145"/>
            <wp:docPr id="34" name="图表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0" distR="0">
            <wp:extent cx="4100195" cy="1776095"/>
            <wp:effectExtent l="4445" t="4445" r="10160" b="10160"/>
            <wp:docPr id="36" name="图表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0" distR="0">
            <wp:extent cx="4138295" cy="2014220"/>
            <wp:effectExtent l="4445" t="4445" r="10160" b="19685"/>
            <wp:docPr id="39" name="图表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A</w:t>
      </w:r>
      <w:r>
        <w:rPr>
          <w:rFonts w:hint="default"/>
          <w:sz w:val="24"/>
          <w:szCs w:val="24"/>
          <w:lang w:val="en-US" w:eastAsia="zh-CN"/>
        </w:rPr>
        <w:t>ll patients,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HBeAg-positive patients, C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Bars are 95% CI. Green lines are trend lines.</w:t>
      </w:r>
    </w:p>
    <w:p>
      <w:pPr>
        <w:widowControl w:val="0"/>
        <w:numPr>
          <w:ilvl w:val="0"/>
          <w:numId w:val="0"/>
        </w:num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4552C"/>
    <w:rsid w:val="020A1ABF"/>
    <w:rsid w:val="08036D5F"/>
    <w:rsid w:val="0F0C3197"/>
    <w:rsid w:val="1059379E"/>
    <w:rsid w:val="1964437B"/>
    <w:rsid w:val="28176E60"/>
    <w:rsid w:val="33693931"/>
    <w:rsid w:val="3A2C16D4"/>
    <w:rsid w:val="590628C9"/>
    <w:rsid w:val="5A2A03B6"/>
    <w:rsid w:val="642D3DD7"/>
    <w:rsid w:val="6A5842ED"/>
    <w:rsid w:val="6CA91E57"/>
    <w:rsid w:val="6DF52942"/>
    <w:rsid w:val="7D1F67A1"/>
    <w:rsid w:val="7DD5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Arial-BoldMT" w:hAnsi="Arial-BoldMT" w:eastAsia="Arial-BoldMT" w:cs="Arial-BoldMT"/>
      <w:b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ascii="ArialMT" w:hAnsi="ArialMT" w:eastAsia="ArialMT" w:cs="ArialMT"/>
      <w:color w:val="000000"/>
      <w:sz w:val="24"/>
      <w:szCs w:val="24"/>
      <w:u w:val="none"/>
    </w:rPr>
  </w:style>
  <w:style w:type="character" w:customStyle="1" w:styleId="6">
    <w:name w:val="font01"/>
    <w:basedOn w:val="3"/>
    <w:uiPriority w:val="0"/>
    <w:rPr>
      <w:rFonts w:hint="default" w:ascii="ArialMT" w:hAnsi="ArialMT" w:eastAsia="ArialMT" w:cs="ArialMT"/>
      <w:color w:val="303030"/>
      <w:sz w:val="24"/>
      <w:szCs w:val="24"/>
      <w:u w:val="none"/>
    </w:rPr>
  </w:style>
  <w:style w:type="character" w:customStyle="1" w:styleId="7">
    <w:name w:val="fontstyle01"/>
    <w:basedOn w:val="3"/>
    <w:uiPriority w:val="0"/>
    <w:rPr>
      <w:rFonts w:ascii="ArialMT" w:hAnsi="ArialMT" w:eastAsia="ArialMT" w:cs="Arial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_rels/chart3.xml.rels><?xml version="1.0" encoding="UTF-8" standalone="yes"?>
<Relationships xmlns="http://schemas.openxmlformats.org/package/2006/relationships"><Relationship Id="rId4" Type="http://schemas.microsoft.com/office/2011/relationships/chartColorStyle" Target="colors3.xml"/><Relationship Id="rId3" Type="http://schemas.microsoft.com/office/2011/relationships/chartStyle" Target="style3.xml"/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All patients</a:t>
            </a:r>
            <a:endParaRPr 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'Figure2-3'!$B$54:$B$59</c:f>
              <c:numCache>
                <c:formatCode>General</c:formatCode>
                <c:ptCount val="6"/>
                <c:pt idx="0">
                  <c:v>0.42</c:v>
                </c:pt>
                <c:pt idx="1">
                  <c:v>0.41</c:v>
                </c:pt>
                <c:pt idx="2">
                  <c:v>0.59</c:v>
                </c:pt>
                <c:pt idx="3">
                  <c:v>0.56</c:v>
                </c:pt>
                <c:pt idx="4">
                  <c:v>0.6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'Figure2-3'!$C$54:$C$59</c:f>
              <c:numCache>
                <c:formatCode>General</c:formatCode>
                <c:ptCount val="6"/>
                <c:pt idx="0">
                  <c:v>0.15</c:v>
                </c:pt>
                <c:pt idx="1">
                  <c:v>0.27</c:v>
                </c:pt>
                <c:pt idx="2">
                  <c:v>0.31</c:v>
                </c:pt>
                <c:pt idx="3">
                  <c:v>0.35</c:v>
                </c:pt>
                <c:pt idx="4">
                  <c:v>0.36</c:v>
                </c:pt>
                <c:pt idx="5">
                  <c:v>0.37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'Figure2-3'!$D$54:$D$59</c:f>
              <c:numCache>
                <c:formatCode>General</c:formatCode>
                <c:ptCount val="6"/>
                <c:pt idx="0">
                  <c:v>0.29</c:v>
                </c:pt>
                <c:pt idx="1">
                  <c:v>0.34</c:v>
                </c:pt>
                <c:pt idx="2">
                  <c:v>0.45</c:v>
                </c:pt>
                <c:pt idx="3">
                  <c:v>0.46</c:v>
                </c:pt>
                <c:pt idx="4">
                  <c:v>0.48</c:v>
                </c:pt>
                <c:pt idx="5">
                  <c:v>0.49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19526328"/>
        <c:axId val="719524688"/>
      </c:stockChart>
      <c:catAx>
        <c:axId val="719526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4688"/>
        <c:crosses val="autoZero"/>
        <c:auto val="1"/>
        <c:lblAlgn val="ctr"/>
        <c:lblOffset val="100"/>
        <c:noMultiLvlLbl val="0"/>
      </c:catAx>
      <c:valAx>
        <c:axId val="719524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63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HBeAg-positive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'Figure2-3'!$B$67:$B$72</c:f>
              <c:numCache>
                <c:formatCode>General</c:formatCode>
                <c:ptCount val="6"/>
                <c:pt idx="0">
                  <c:v>0.22</c:v>
                </c:pt>
                <c:pt idx="1">
                  <c:v>0.5</c:v>
                </c:pt>
                <c:pt idx="2">
                  <c:v>0.45</c:v>
                </c:pt>
                <c:pt idx="3">
                  <c:v>0.56</c:v>
                </c:pt>
                <c:pt idx="4">
                  <c:v>0.7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'Figure2-3'!$C$67:$C$72</c:f>
              <c:numCache>
                <c:formatCode>General</c:formatCode>
                <c:ptCount val="6"/>
                <c:pt idx="0">
                  <c:v>0.07</c:v>
                </c:pt>
                <c:pt idx="1">
                  <c:v>0.22</c:v>
                </c:pt>
                <c:pt idx="2">
                  <c:v>0.32</c:v>
                </c:pt>
                <c:pt idx="3">
                  <c:v>0.32</c:v>
                </c:pt>
                <c:pt idx="4">
                  <c:v>0.24</c:v>
                </c:pt>
                <c:pt idx="5">
                  <c:v>0.19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'Figure2-3'!$D$67:$D$72</c:f>
              <c:numCache>
                <c:formatCode>General</c:formatCode>
                <c:ptCount val="6"/>
                <c:pt idx="0">
                  <c:v>0.15</c:v>
                </c:pt>
                <c:pt idx="1">
                  <c:v>0.36</c:v>
                </c:pt>
                <c:pt idx="2">
                  <c:v>0.39</c:v>
                </c:pt>
                <c:pt idx="3">
                  <c:v>0.44</c:v>
                </c:pt>
                <c:pt idx="4">
                  <c:v>0.47</c:v>
                </c:pt>
                <c:pt idx="5">
                  <c:v>0.4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60667256"/>
        <c:axId val="760660368"/>
      </c:stockChart>
      <c:catAx>
        <c:axId val="760667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0368"/>
        <c:crosses val="autoZero"/>
        <c:auto val="1"/>
        <c:lblAlgn val="ctr"/>
        <c:lblOffset val="100"/>
        <c:noMultiLvlLbl val="0"/>
      </c:catAx>
      <c:valAx>
        <c:axId val="76066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72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HBeAg-negative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'Figure2-3'!$B$78:$B$83</c:f>
              <c:numCache>
                <c:formatCode>General</c:formatCode>
                <c:ptCount val="6"/>
                <c:pt idx="0">
                  <c:v>0.45</c:v>
                </c:pt>
                <c:pt idx="1">
                  <c:v>0.59</c:v>
                </c:pt>
                <c:pt idx="2">
                  <c:v>0.83</c:v>
                </c:pt>
                <c:pt idx="3">
                  <c:v>0.94</c:v>
                </c:pt>
                <c:pt idx="4">
                  <c:v>0.88</c:v>
                </c:pt>
                <c:pt idx="5">
                  <c:v>0.73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'Figure2-3'!$C$78:$C$83</c:f>
              <c:numCache>
                <c:formatCode>General</c:formatCode>
                <c:ptCount val="6"/>
                <c:pt idx="0">
                  <c:v>0.07</c:v>
                </c:pt>
                <c:pt idx="1">
                  <c:v>0.2</c:v>
                </c:pt>
                <c:pt idx="2">
                  <c:v>0.25</c:v>
                </c:pt>
                <c:pt idx="3">
                  <c:v>0.11</c:v>
                </c:pt>
                <c:pt idx="4">
                  <c:v>0.27</c:v>
                </c:pt>
                <c:pt idx="5">
                  <c:v>0.25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'Figure2-3'!$D$78:$D$83</c:f>
              <c:numCache>
                <c:formatCode>General</c:formatCode>
                <c:ptCount val="6"/>
                <c:pt idx="0">
                  <c:v>0.26</c:v>
                </c:pt>
                <c:pt idx="1">
                  <c:v>0.39</c:v>
                </c:pt>
                <c:pt idx="2">
                  <c:v>0.54</c:v>
                </c:pt>
                <c:pt idx="3">
                  <c:v>0.52</c:v>
                </c:pt>
                <c:pt idx="4">
                  <c:v>0.58</c:v>
                </c:pt>
                <c:pt idx="5">
                  <c:v>0.49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634498192"/>
        <c:axId val="634505408"/>
      </c:stockChart>
      <c:catAx>
        <c:axId val="634498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505408"/>
        <c:crosses val="autoZero"/>
        <c:auto val="1"/>
        <c:lblAlgn val="ctr"/>
        <c:lblOffset val="100"/>
        <c:noMultiLvlLbl val="0"/>
      </c:catAx>
      <c:valAx>
        <c:axId val="634505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498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2020-02-25T09:51:22Z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